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99F7C6E-F021-4E80-8888-585EF97F9E7F}"/>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